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E7A5D" w14:textId="1BC2F043" w:rsidR="00AC75DE" w:rsidRDefault="00AC75DE">
      <w:r>
        <w:t>Pomoc dla pszczelarzy 2026</w:t>
      </w:r>
    </w:p>
    <w:p w14:paraId="342E5B84" w14:textId="77777777" w:rsidR="00AC75DE" w:rsidRDefault="00AC75DE"/>
    <w:p w14:paraId="7F0428E2" w14:textId="5DD20190" w:rsidR="001F37CC" w:rsidRDefault="00E32EA2">
      <w:hyperlink r:id="rId5" w:history="1">
        <w:r w:rsidRPr="005A455C">
          <w:rPr>
            <w:rStyle w:val="Hipercze"/>
          </w:rPr>
          <w:t>https://www.gov.pl/web/arimr/nabor-2026---pomoc-dla-pszczelarzy-do-przezimowanych-rodzin-pszczelich</w:t>
        </w:r>
      </w:hyperlink>
    </w:p>
    <w:p w14:paraId="653521B7" w14:textId="77777777" w:rsidR="00E32EA2" w:rsidRDefault="00E32EA2"/>
    <w:p w14:paraId="33D2F2F7" w14:textId="77777777" w:rsidR="00E32EA2" w:rsidRDefault="00E32EA2"/>
    <w:p w14:paraId="30BABC76" w14:textId="77777777" w:rsidR="00E32EA2" w:rsidRPr="00E32EA2" w:rsidRDefault="00E32EA2" w:rsidP="00E32EA2">
      <w:pPr>
        <w:rPr>
          <w:b/>
          <w:bCs/>
        </w:rPr>
      </w:pPr>
      <w:r w:rsidRPr="00E32EA2">
        <w:rPr>
          <w:b/>
          <w:bCs/>
        </w:rPr>
        <w:t>Nabór 2026 - Pomoc dla pszczelarzy do przezimowanych rodzin pszczelich</w:t>
      </w:r>
    </w:p>
    <w:p w14:paraId="06DCD4B6" w14:textId="77777777" w:rsidR="00E32EA2" w:rsidRPr="00E32EA2" w:rsidRDefault="00E32EA2" w:rsidP="00E32EA2">
      <w:r w:rsidRPr="00E32EA2">
        <w:t>01.04.2026</w:t>
      </w:r>
    </w:p>
    <w:p w14:paraId="60D8F56D" w14:textId="77777777" w:rsidR="00E32EA2" w:rsidRPr="00E32EA2" w:rsidRDefault="00E32EA2" w:rsidP="00E32EA2">
      <w:pPr>
        <w:rPr>
          <w:b/>
          <w:bCs/>
        </w:rPr>
      </w:pPr>
      <w:r w:rsidRPr="00E32EA2">
        <w:rPr>
          <w:b/>
          <w:bCs/>
        </w:rPr>
        <w:t>W terminie 1 kwietnia - 31 maja 2026 r. ARiMR przyjmuje wnioski o pomoc finansową dla pszczelarzy do przezimowanych rodzin pszczelich</w:t>
      </w:r>
    </w:p>
    <w:p w14:paraId="7E4C2FFC" w14:textId="77777777" w:rsidR="00E32EA2" w:rsidRPr="00E32EA2" w:rsidRDefault="00E32EA2" w:rsidP="00E32EA2">
      <w:r w:rsidRPr="00E32EA2">
        <w:t xml:space="preserve">Pomoc dla pszczelarzy do przezimowanych rodzin pszczelich – pomoc de </w:t>
      </w:r>
      <w:proofErr w:type="spellStart"/>
      <w:r w:rsidRPr="00E32EA2">
        <w:t>minimis</w:t>
      </w:r>
      <w:proofErr w:type="spellEnd"/>
      <w:r w:rsidRPr="00E32EA2">
        <w:t xml:space="preserve"> w rolnictwie</w:t>
      </w:r>
    </w:p>
    <w:p w14:paraId="4BD9CB23" w14:textId="77777777" w:rsidR="00E32EA2" w:rsidRPr="00E32EA2" w:rsidRDefault="00E32EA2" w:rsidP="00E32EA2">
      <w:r w:rsidRPr="00E32EA2">
        <w:rPr>
          <w:b/>
          <w:bCs/>
        </w:rPr>
        <w:t>Pomoc finansowa dla pszczelarzy będących podmiotami prowadzącymi działalność nadzorowaną w zakresie utrzymywania pszczół</w:t>
      </w:r>
      <w:r w:rsidRPr="00E32EA2">
        <w:t> </w:t>
      </w:r>
      <w:r w:rsidRPr="00E32EA2">
        <w:rPr>
          <w:b/>
          <w:bCs/>
        </w:rPr>
        <w:t>wpisanych do rejestru</w:t>
      </w:r>
      <w:r w:rsidRPr="00E32EA2">
        <w:t>, </w:t>
      </w:r>
      <w:r w:rsidRPr="00E32EA2">
        <w:rPr>
          <w:b/>
          <w:bCs/>
        </w:rPr>
        <w:t>o którym mowa w art. 67 ust. 1 ustawy z dnia 21 listopada 2025 r.</w:t>
      </w:r>
      <w:r w:rsidRPr="00E32EA2">
        <w:rPr>
          <w:b/>
          <w:bCs/>
          <w:i/>
          <w:iCs/>
        </w:rPr>
        <w:t> o zdrowiu zwierząt.</w:t>
      </w:r>
    </w:p>
    <w:p w14:paraId="7D52C977" w14:textId="77777777" w:rsidR="00E32EA2" w:rsidRPr="00E32EA2" w:rsidRDefault="00E32EA2" w:rsidP="00E32EA2">
      <w:r w:rsidRPr="00E32EA2">
        <w:t>Zgodnie z </w:t>
      </w:r>
      <w:r w:rsidRPr="00E32EA2">
        <w:rPr>
          <w:b/>
          <w:bCs/>
        </w:rPr>
        <w:t>§ 13zf</w:t>
      </w:r>
      <w:r w:rsidRPr="00E32EA2">
        <w:t> rozporządzenia Rady Ministrów z dnia 27 stycznia 2015 r. </w:t>
      </w:r>
      <w:r w:rsidRPr="00E32EA2">
        <w:rPr>
          <w:i/>
          <w:iCs/>
        </w:rPr>
        <w:t>w sprawie szczegółowego zakresu i sposobów realizacji niektórych zadań Agencji Restrukturyzacji i Modernizacji Rolnictwa</w:t>
      </w:r>
      <w:r w:rsidRPr="00E32EA2">
        <w:t xml:space="preserve"> (Dz. U. poz. 187, z </w:t>
      </w:r>
      <w:proofErr w:type="spellStart"/>
      <w:r w:rsidRPr="00E32EA2">
        <w:t>późn</w:t>
      </w:r>
      <w:proofErr w:type="spellEnd"/>
      <w:r w:rsidRPr="00E32EA2">
        <w:t>. zm.), </w:t>
      </w:r>
      <w:r w:rsidRPr="00E32EA2">
        <w:rPr>
          <w:b/>
          <w:bCs/>
        </w:rPr>
        <w:t>nabór wniosków</w:t>
      </w:r>
      <w:r w:rsidRPr="00E32EA2">
        <w:t> będzie trwał </w:t>
      </w:r>
      <w:r w:rsidRPr="00E32EA2">
        <w:rPr>
          <w:b/>
          <w:bCs/>
        </w:rPr>
        <w:t>od dnia 1 kwietnia 2026 r. do dnia 31 maja 2026 r. </w:t>
      </w:r>
      <w:r w:rsidRPr="00E32EA2">
        <w:t>i odbywa się </w:t>
      </w:r>
      <w:r w:rsidRPr="00E32EA2">
        <w:rPr>
          <w:b/>
          <w:bCs/>
        </w:rPr>
        <w:t>w formie elektronicznej</w:t>
      </w:r>
      <w:r w:rsidRPr="00E32EA2">
        <w:t> poprzez formularz wniosku opublikowany na stronie Agencji, za pośrednictwem Platformy Usług Elektronicznych (PUE) ARiMR</w:t>
      </w:r>
      <w:r w:rsidRPr="00E32EA2">
        <w:rPr>
          <w:b/>
          <w:bCs/>
        </w:rPr>
        <w:t>.</w:t>
      </w:r>
    </w:p>
    <w:p w14:paraId="6C07CC92" w14:textId="77777777" w:rsidR="00E32EA2" w:rsidRPr="00E32EA2" w:rsidRDefault="00E32EA2" w:rsidP="00E32EA2">
      <w:r w:rsidRPr="00E32EA2">
        <w:rPr>
          <w:b/>
          <w:bCs/>
        </w:rPr>
        <w:t>Wnioski o pomoc należy składać za pośrednictwem PUE ARiMR </w:t>
      </w:r>
      <w:r w:rsidRPr="00E32EA2">
        <w:rPr>
          <w:rFonts w:ascii="Arial" w:hAnsi="Arial" w:cs="Arial"/>
        </w:rPr>
        <w:t>​​​​​​</w:t>
      </w:r>
    </w:p>
    <w:p w14:paraId="023FDE13" w14:textId="77777777" w:rsidR="00E32EA2" w:rsidRPr="00E32EA2" w:rsidRDefault="00E32EA2" w:rsidP="00E32EA2">
      <w:r w:rsidRPr="00E32EA2">
        <w:t>Wysokość pomocy</w:t>
      </w:r>
    </w:p>
    <w:p w14:paraId="67373B11" w14:textId="77777777" w:rsidR="00E32EA2" w:rsidRPr="00E32EA2" w:rsidRDefault="00E32EA2" w:rsidP="00E32EA2">
      <w:r w:rsidRPr="00E32EA2">
        <w:rPr>
          <w:b/>
          <w:bCs/>
        </w:rPr>
        <w:t>Stawka pomocy wynosi 50 zł na jedną przezimowaną rodzinę pszczelą.</w:t>
      </w:r>
    </w:p>
    <w:p w14:paraId="4CE1F5E9" w14:textId="77777777" w:rsidR="00E32EA2" w:rsidRPr="00E32EA2" w:rsidRDefault="00E32EA2" w:rsidP="00E32EA2">
      <w:r w:rsidRPr="00E32EA2">
        <w:t>Wysokość pomocy, ustala się jako iloczyn liczby przezimowanych rodzin pszczelich oraz stawki pomocy na jedną przezimowaną rodzinę pszczelą.</w:t>
      </w:r>
    </w:p>
    <w:p w14:paraId="13A3CA5B" w14:textId="77777777" w:rsidR="00E32EA2" w:rsidRPr="00E32EA2" w:rsidRDefault="00E32EA2" w:rsidP="00E32EA2">
      <w:r w:rsidRPr="00E32EA2">
        <w:t>Budżet programu wynosi 80 mln zł.</w:t>
      </w:r>
    </w:p>
    <w:p w14:paraId="0D96CF51" w14:textId="77777777" w:rsidR="00E32EA2" w:rsidRPr="00E32EA2" w:rsidRDefault="00E32EA2" w:rsidP="00E32EA2">
      <w:r w:rsidRPr="00E32EA2">
        <w:t>W przypadku, gdy ze złożonych wniosków będzie wynikało, że zapotrzebowanie na pomoc przekracza łącznie kwotę 80 mln zł do obliczenia wysokości tej pomocy zostanie zastosowany współczynnik korygujący. Współczynnik korygujący stanowi iloraz kwoty 80 mln zł i kwoty równej zapotrzebowaniu na tę pomoc wynikającej ze złożonych wniosków.</w:t>
      </w:r>
    </w:p>
    <w:p w14:paraId="6D9C0A20" w14:textId="77777777" w:rsidR="00E32EA2" w:rsidRPr="00E32EA2" w:rsidRDefault="00E32EA2" w:rsidP="00E32EA2">
      <w:r w:rsidRPr="00E32EA2">
        <w:t>Pomoc jest udzielana jako </w:t>
      </w:r>
      <w:r w:rsidRPr="00E32EA2">
        <w:rPr>
          <w:b/>
          <w:bCs/>
        </w:rPr>
        <w:t>pomoc </w:t>
      </w:r>
      <w:r w:rsidRPr="00E32EA2">
        <w:rPr>
          <w:b/>
          <w:bCs/>
          <w:i/>
          <w:iCs/>
        </w:rPr>
        <w:t xml:space="preserve">de </w:t>
      </w:r>
      <w:proofErr w:type="spellStart"/>
      <w:r w:rsidRPr="00E32EA2">
        <w:rPr>
          <w:b/>
          <w:bCs/>
          <w:i/>
          <w:iCs/>
        </w:rPr>
        <w:t>minimis</w:t>
      </w:r>
      <w:proofErr w:type="spellEnd"/>
      <w:r w:rsidRPr="00E32EA2">
        <w:rPr>
          <w:b/>
          <w:bCs/>
          <w:i/>
          <w:iCs/>
        </w:rPr>
        <w:t xml:space="preserve"> w rolnictwie</w:t>
      </w:r>
      <w:r w:rsidRPr="00E32EA2">
        <w:t xml:space="preserve"> zgodnie z przepisami rozporządzenia Komisji (UE) nr 1408/2013 z dnia 18 grudnia 2013 r. w sprawie stosowania art.107 i 108 Traktatu o funkcjonowaniu Unii Europejskiej do pomocy de </w:t>
      </w:r>
      <w:proofErr w:type="spellStart"/>
      <w:r w:rsidRPr="00E32EA2">
        <w:t>minimis</w:t>
      </w:r>
      <w:proofErr w:type="spellEnd"/>
      <w:r w:rsidRPr="00E32EA2">
        <w:t xml:space="preserve"> w sektorze rolnym oraz przepisami o postępowaniu w sprawach dotyczących pomocy publicznej.</w:t>
      </w:r>
    </w:p>
    <w:p w14:paraId="163D5434" w14:textId="77777777" w:rsidR="00E32EA2" w:rsidRPr="00E32EA2" w:rsidRDefault="00E32EA2" w:rsidP="00E32EA2">
      <w:r w:rsidRPr="00E32EA2">
        <w:rPr>
          <w:b/>
          <w:bCs/>
        </w:rPr>
        <w:t>WAŻNE:</w:t>
      </w:r>
      <w:r w:rsidRPr="00E32EA2">
        <w:br/>
      </w:r>
      <w:r w:rsidRPr="00E32EA2">
        <w:rPr>
          <w:b/>
          <w:bCs/>
        </w:rPr>
        <w:t xml:space="preserve">Zgodnie z postanowieniami rozporządzenia Komisji (UE) nr 1408/2013 w przypadku, gdy z powodu udzielenia wnioskowanej pomocy zostałby przekroczony limit pomocy de </w:t>
      </w:r>
      <w:proofErr w:type="spellStart"/>
      <w:r w:rsidRPr="00E32EA2">
        <w:rPr>
          <w:b/>
          <w:bCs/>
        </w:rPr>
        <w:t>minimis</w:t>
      </w:r>
      <w:proofErr w:type="spellEnd"/>
      <w:r w:rsidRPr="00E32EA2">
        <w:rPr>
          <w:b/>
          <w:bCs/>
        </w:rPr>
        <w:t xml:space="preserve">, w tym limit pomocy de </w:t>
      </w:r>
      <w:proofErr w:type="spellStart"/>
      <w:r w:rsidRPr="00E32EA2">
        <w:rPr>
          <w:b/>
          <w:bCs/>
        </w:rPr>
        <w:t>minimis</w:t>
      </w:r>
      <w:proofErr w:type="spellEnd"/>
      <w:r w:rsidRPr="00E32EA2">
        <w:rPr>
          <w:b/>
          <w:bCs/>
        </w:rPr>
        <w:t xml:space="preserve"> w rolnictwie, pomoc do takiego wniosku nie może zostać przyznana.</w:t>
      </w:r>
    </w:p>
    <w:p w14:paraId="49D41BFE" w14:textId="77777777" w:rsidR="00E32EA2" w:rsidRPr="00E32EA2" w:rsidRDefault="00E32EA2" w:rsidP="00E32EA2">
      <w:r w:rsidRPr="00E32EA2">
        <w:t xml:space="preserve">W związku z tym, wskazując liczbę przezimowanych rodzin pszczelich do której jest wnioskowana pomoc należy sprawdzić czy wynikająca z tej liczby wnioskowana kwota pomocy mieści się w wolnym limicie pomocy de </w:t>
      </w:r>
      <w:proofErr w:type="spellStart"/>
      <w:r w:rsidRPr="00E32EA2">
        <w:t>minimis</w:t>
      </w:r>
      <w:proofErr w:type="spellEnd"/>
      <w:r w:rsidRPr="00E32EA2">
        <w:t xml:space="preserve"> w rolnictwie jaką posiada wnioskodawca lub będzie posiadał na dzień wydania decyzji o przyznaniu wnioskowanej pomocy (dotyczy sytuacji, gdy wnioskodawca ubiega się w tym samym czasie o różne pomoce w formule de </w:t>
      </w:r>
      <w:proofErr w:type="spellStart"/>
      <w:r w:rsidRPr="00E32EA2">
        <w:t>minimis</w:t>
      </w:r>
      <w:proofErr w:type="spellEnd"/>
      <w:r w:rsidRPr="00E32EA2">
        <w:t>).</w:t>
      </w:r>
    </w:p>
    <w:p w14:paraId="6942B597" w14:textId="77777777" w:rsidR="00E32EA2" w:rsidRPr="00E32EA2" w:rsidRDefault="00E32EA2" w:rsidP="00E32EA2">
      <w:r w:rsidRPr="00E32EA2">
        <w:lastRenderedPageBreak/>
        <w:t>Beneficjentem pomocy może być pszczelarz</w:t>
      </w:r>
    </w:p>
    <w:p w14:paraId="3F3D4549" w14:textId="77777777" w:rsidR="00E32EA2" w:rsidRPr="00E32EA2" w:rsidRDefault="00E32EA2" w:rsidP="00E32EA2">
      <w:pPr>
        <w:numPr>
          <w:ilvl w:val="0"/>
          <w:numId w:val="1"/>
        </w:numPr>
      </w:pPr>
      <w:r w:rsidRPr="00E32EA2">
        <w:t>któremu został nadany numer identyfikacyjny w trybie przepisów </w:t>
      </w:r>
      <w:r w:rsidRPr="00E32EA2">
        <w:rPr>
          <w:i/>
          <w:iCs/>
        </w:rPr>
        <w:t>o krajowym systemie ewidencji producentów, ewidencji gospodarstw rolnych oraz ewidencji wniosków o przyznanie płatności</w:t>
      </w:r>
      <w:r w:rsidRPr="00E32EA2">
        <w:t>, tzw. numer EP,</w:t>
      </w:r>
    </w:p>
    <w:p w14:paraId="2C97DCC9" w14:textId="77777777" w:rsidR="00E32EA2" w:rsidRPr="00E32EA2" w:rsidRDefault="00E32EA2" w:rsidP="00E32EA2">
      <w:pPr>
        <w:numPr>
          <w:ilvl w:val="0"/>
          <w:numId w:val="1"/>
        </w:numPr>
      </w:pPr>
      <w:r w:rsidRPr="00E32EA2">
        <w:t>który prowadzi działalność nadzorowaną w zakresie utrzymywania pszczół wpisany do rejestru, o którym mowa w art. 67 ust. 1 ustawy z dnia 21 listopada 2025 r. </w:t>
      </w:r>
      <w:r w:rsidRPr="00E32EA2">
        <w:rPr>
          <w:i/>
          <w:iCs/>
        </w:rPr>
        <w:t>o zdrowiu zwierząt.</w:t>
      </w:r>
    </w:p>
    <w:p w14:paraId="58FDC7A3" w14:textId="77777777" w:rsidR="00E32EA2" w:rsidRPr="00E32EA2" w:rsidRDefault="00E32EA2" w:rsidP="00E32EA2">
      <w:r w:rsidRPr="00E32EA2">
        <w:t>Informację w sprawie zasad </w:t>
      </w:r>
      <w:r w:rsidRPr="00E32EA2">
        <w:rPr>
          <w:b/>
          <w:bCs/>
        </w:rPr>
        <w:t>uzyskiwania numerów identyfikacyjnych</w:t>
      </w:r>
      <w:r w:rsidRPr="00E32EA2">
        <w:t> w trybie przepisów </w:t>
      </w:r>
      <w:r w:rsidRPr="00E32EA2">
        <w:rPr>
          <w:i/>
          <w:iCs/>
        </w:rPr>
        <w:t>o krajowym systemie ewidencji producentów, ewidencji gospodarstw rolnych oraz ewidencji wniosków o przyznanie płatności</w:t>
      </w:r>
      <w:r w:rsidRPr="00E32EA2">
        <w:t>, można znaleźć pod adresem:</w:t>
      </w:r>
      <w:r w:rsidRPr="00E32EA2">
        <w:rPr>
          <w:b/>
          <w:bCs/>
        </w:rPr>
        <w:t> </w:t>
      </w:r>
      <w:hyperlink r:id="rId6" w:history="1">
        <w:r w:rsidRPr="00E32EA2">
          <w:rPr>
            <w:rStyle w:val="Hipercze"/>
          </w:rPr>
          <w:t>https://www.gov.pl/web/arimr/ewidencja-producentow</w:t>
        </w:r>
      </w:hyperlink>
      <w:r w:rsidRPr="00E32EA2">
        <w:rPr>
          <w:b/>
          <w:bCs/>
        </w:rPr>
        <w:t> </w:t>
      </w:r>
      <w:r w:rsidRPr="00E32EA2">
        <w:t> – </w:t>
      </w:r>
      <w:r w:rsidRPr="00E32EA2">
        <w:rPr>
          <w:b/>
          <w:bCs/>
        </w:rPr>
        <w:t>dotyczy wnioskodawców, którzy nie posiadają takiego numeru.</w:t>
      </w:r>
    </w:p>
    <w:p w14:paraId="1AE09009" w14:textId="77777777" w:rsidR="00E32EA2" w:rsidRPr="00E32EA2" w:rsidRDefault="00E32EA2" w:rsidP="00E32EA2">
      <w:r w:rsidRPr="00E32EA2">
        <w:rPr>
          <w:b/>
          <w:bCs/>
        </w:rPr>
        <w:t>Pomoc jest przyznawana w drodze decyzji kierownika biura powiatowego ARiMR</w:t>
      </w:r>
      <w:r w:rsidRPr="00E32EA2">
        <w:t> właściwego ze względu na miejsce zamieszkania albo siedzibę pszczelarza, na wniosek złożony w terminie do dnia 31 maja 2026 r.</w:t>
      </w:r>
    </w:p>
    <w:p w14:paraId="34025840" w14:textId="77777777" w:rsidR="00E32EA2" w:rsidRPr="00E32EA2" w:rsidRDefault="00E32EA2" w:rsidP="00E32EA2">
      <w:r w:rsidRPr="00E32EA2">
        <w:t>Pomoc będzie wypłacana na rachunek pszczelarza wskazany w krajowym systemie ewidencji producentów, ewidencji gospodarstw rolnych oraz ewidencji wniosków o przyznanie płatności.</w:t>
      </w:r>
    </w:p>
    <w:p w14:paraId="590064D1" w14:textId="77777777" w:rsidR="00E32EA2" w:rsidRPr="00E32EA2" w:rsidRDefault="00E32EA2" w:rsidP="00E32EA2">
      <w:r w:rsidRPr="00E32EA2">
        <w:t>Dlatego istotne jest, aby </w:t>
      </w:r>
      <w:r w:rsidRPr="00E32EA2">
        <w:rPr>
          <w:b/>
          <w:bCs/>
        </w:rPr>
        <w:t>dane dotyczące rachunku</w:t>
      </w:r>
      <w:r w:rsidRPr="00E32EA2">
        <w:t> w ww. systemie ewidencji producentów </w:t>
      </w:r>
      <w:r w:rsidRPr="00E32EA2">
        <w:rPr>
          <w:b/>
          <w:bCs/>
        </w:rPr>
        <w:t>były aktualne</w:t>
      </w:r>
      <w:r w:rsidRPr="00E32EA2">
        <w:t>.</w:t>
      </w:r>
    </w:p>
    <w:p w14:paraId="7F289065" w14:textId="77777777" w:rsidR="00E32EA2" w:rsidRPr="00E32EA2" w:rsidRDefault="00E32EA2" w:rsidP="00E32EA2">
      <w:r w:rsidRPr="00E32EA2">
        <w:t>Informacje dotyczące rachunku można sprawdzić po zalogowaniu się do Platformy Usług Elektronicznych ARiMR  </w:t>
      </w:r>
      <w:hyperlink r:id="rId7" w:history="1">
        <w:r w:rsidRPr="00E32EA2">
          <w:rPr>
            <w:rStyle w:val="Hipercze"/>
          </w:rPr>
          <w:t>https://epue.arimr.gov.pl/pl/strona-glowna</w:t>
        </w:r>
      </w:hyperlink>
      <w:r w:rsidRPr="00E32EA2">
        <w:t> i wybraniu z paska menu opcji „Mój profil”.</w:t>
      </w:r>
    </w:p>
    <w:p w14:paraId="5238772A" w14:textId="77777777" w:rsidR="00E32EA2" w:rsidRPr="00E32EA2" w:rsidRDefault="00E32EA2" w:rsidP="00E32EA2">
      <w:r w:rsidRPr="00E32EA2">
        <w:t>Jeśli nr konta jest nieaktualny, należy niezwłocznie dokonać jego aktualizacji poprzez złożenie odpowiedniego wniosku w sposób opisany na </w:t>
      </w:r>
      <w:hyperlink r:id="rId8" w:history="1">
        <w:r w:rsidRPr="00E32EA2">
          <w:rPr>
            <w:rStyle w:val="Hipercze"/>
          </w:rPr>
          <w:t>https://www.gov.pl/web/arimr/ewidencja-producentow</w:t>
        </w:r>
      </w:hyperlink>
      <w:r w:rsidRPr="00E32EA2">
        <w:t>.</w:t>
      </w:r>
    </w:p>
    <w:p w14:paraId="5B40657E" w14:textId="77777777" w:rsidR="00E32EA2" w:rsidRPr="00E32EA2" w:rsidRDefault="00E32EA2" w:rsidP="00E32EA2">
      <w:r w:rsidRPr="00E32EA2">
        <w:t>Załączniki do wniosku:</w:t>
      </w:r>
    </w:p>
    <w:p w14:paraId="50826771" w14:textId="77777777" w:rsidR="00E32EA2" w:rsidRPr="00E32EA2" w:rsidRDefault="00E32EA2" w:rsidP="00E32EA2">
      <w:r w:rsidRPr="00E32EA2">
        <w:t>1. </w:t>
      </w:r>
      <w:r w:rsidRPr="00E32EA2">
        <w:rPr>
          <w:b/>
          <w:bCs/>
        </w:rPr>
        <w:t>wydane w 2026 roku zaświadczenie </w:t>
      </w:r>
      <w:r w:rsidRPr="00E32EA2">
        <w:t>powiatowego lekarza weterynarii właściwego ze względu na miejsce prowadzenia pasieki </w:t>
      </w:r>
      <w:r w:rsidRPr="00E32EA2">
        <w:rPr>
          <w:b/>
          <w:bCs/>
        </w:rPr>
        <w:t>o wpisaniu pszczelarza do rejestru</w:t>
      </w:r>
      <w:r w:rsidRPr="00E32EA2">
        <w:t>, o którym mowa w art. 67 ust. 1 ustawy z dnia 21 listopada 2025 r. </w:t>
      </w:r>
      <w:r w:rsidRPr="00E32EA2">
        <w:rPr>
          <w:i/>
          <w:iCs/>
        </w:rPr>
        <w:t>o zdrowiu zwierząt</w:t>
      </w:r>
      <w:r w:rsidRPr="00E32EA2">
        <w:t>, </w:t>
      </w:r>
      <w:r w:rsidRPr="00E32EA2">
        <w:rPr>
          <w:b/>
          <w:bCs/>
        </w:rPr>
        <w:t>oraz o liczbie pni pszczelich</w:t>
      </w:r>
      <w:r w:rsidRPr="00E32EA2">
        <w:t>.</w:t>
      </w:r>
    </w:p>
    <w:p w14:paraId="35C73DA2" w14:textId="77777777" w:rsidR="00E32EA2" w:rsidRPr="00E32EA2" w:rsidRDefault="00E32EA2" w:rsidP="00E32EA2">
      <w:r w:rsidRPr="00E32EA2">
        <w:t>Ważne:</w:t>
      </w:r>
    </w:p>
    <w:p w14:paraId="379432B0" w14:textId="77777777" w:rsidR="00E32EA2" w:rsidRPr="00E32EA2" w:rsidRDefault="00E32EA2" w:rsidP="00E32EA2">
      <w:r w:rsidRPr="00E32EA2">
        <w:t>W związku z wejściem w życie z dniem 18 marca 2026 r. przepisów ustawy z dnia 21 listopada 2025 r. </w:t>
      </w:r>
      <w:r w:rsidRPr="00E32EA2">
        <w:rPr>
          <w:i/>
          <w:iCs/>
        </w:rPr>
        <w:t>o zdrowiu zwierząt</w:t>
      </w:r>
      <w:r w:rsidRPr="00E32EA2">
        <w:t> (Dz. U. poz. 1795), zaświadczenie Powiatowego Lekarza Weterynarii o liczbie pni pszczelich, o którym mowa w § 13zf ust. 6 pkt 1 rozporządzenia Rady Ministrów z dnia 27 stycznia 2015 r. </w:t>
      </w:r>
      <w:r w:rsidRPr="00E32EA2">
        <w:rPr>
          <w:i/>
          <w:iCs/>
        </w:rPr>
        <w:t>w sprawie szczegółowego zakresu i sposobów realizacji niektórych zadań Agencji Restrukturyzacji i Modernizacji Rolnictwa</w:t>
      </w:r>
      <w:r w:rsidRPr="00E32EA2">
        <w:t>, powinno zostać wystawione:</w:t>
      </w:r>
    </w:p>
    <w:p w14:paraId="4B6964AD" w14:textId="77777777" w:rsidR="00E32EA2" w:rsidRPr="00E32EA2" w:rsidRDefault="00E32EA2" w:rsidP="00E32EA2">
      <w:pPr>
        <w:numPr>
          <w:ilvl w:val="0"/>
          <w:numId w:val="2"/>
        </w:numPr>
      </w:pPr>
      <w:r w:rsidRPr="00E32EA2">
        <w:rPr>
          <w:b/>
          <w:bCs/>
        </w:rPr>
        <w:t>od 1 stycznia do 17 marca 2026 r</w:t>
      </w:r>
      <w:r w:rsidRPr="00E32EA2">
        <w:t>. – ze wskazaniem na rejestr prowadzony na podstawie art. 11 ust. 1 ustawy z dnia 11 marca 2004 r. </w:t>
      </w:r>
      <w:r w:rsidRPr="00E32EA2">
        <w:rPr>
          <w:i/>
          <w:iCs/>
        </w:rPr>
        <w:t>o ochronie zdrowia zwierząt oraz zwalczaniu chorób zakaźnych zwierząt</w:t>
      </w:r>
      <w:r w:rsidRPr="00E32EA2">
        <w:t>;</w:t>
      </w:r>
    </w:p>
    <w:p w14:paraId="2548196A" w14:textId="77777777" w:rsidR="00E32EA2" w:rsidRPr="00E32EA2" w:rsidRDefault="00E32EA2" w:rsidP="00E32EA2">
      <w:pPr>
        <w:numPr>
          <w:ilvl w:val="0"/>
          <w:numId w:val="2"/>
        </w:numPr>
      </w:pPr>
      <w:r w:rsidRPr="00E32EA2">
        <w:rPr>
          <w:b/>
          <w:bCs/>
        </w:rPr>
        <w:t>od 18 marca 2026 r</w:t>
      </w:r>
      <w:r w:rsidRPr="00E32EA2">
        <w:t>. – ze wskazaniem na rejestr prowadzony na podstawie art. 67 ust. 1 ustawy z dnia 21 listopada 2025 r. </w:t>
      </w:r>
      <w:r w:rsidRPr="00E32EA2">
        <w:rPr>
          <w:i/>
          <w:iCs/>
        </w:rPr>
        <w:t>o zdrowiu zwierząt</w:t>
      </w:r>
      <w:r w:rsidRPr="00E32EA2">
        <w:t>.</w:t>
      </w:r>
    </w:p>
    <w:p w14:paraId="5A03C5CE" w14:textId="77777777" w:rsidR="00E32EA2" w:rsidRPr="00E32EA2" w:rsidRDefault="00E32EA2" w:rsidP="00E32EA2">
      <w:r w:rsidRPr="00E32EA2">
        <w:t xml:space="preserve">2. zaświadczenia o otrzymanej pomocy de </w:t>
      </w:r>
      <w:proofErr w:type="spellStart"/>
      <w:r w:rsidRPr="00E32EA2">
        <w:t>minimis</w:t>
      </w:r>
      <w:proofErr w:type="spellEnd"/>
      <w:r w:rsidRPr="00E32EA2">
        <w:t xml:space="preserve"> - o ile w treści wniosku nie złożono oświadczenia o otrzymanej pomocy de </w:t>
      </w:r>
      <w:proofErr w:type="spellStart"/>
      <w:r w:rsidRPr="00E32EA2">
        <w:t>minimis</w:t>
      </w:r>
      <w:proofErr w:type="spellEnd"/>
      <w:r w:rsidRPr="00E32EA2">
        <w:t>,</w:t>
      </w:r>
    </w:p>
    <w:p w14:paraId="5DC868EB" w14:textId="77777777" w:rsidR="00E32EA2" w:rsidRPr="00E32EA2" w:rsidRDefault="00E32EA2" w:rsidP="00E32EA2">
      <w:r w:rsidRPr="00E32EA2">
        <w:lastRenderedPageBreak/>
        <w:t>3. inne informacje niezbędne do udzielenia tej pomocy, o których mowa w art. 37 ust. 2 pkt 3 ustawy z dnia 30 kwietnia 2004 r. </w:t>
      </w:r>
      <w:r w:rsidRPr="00E32EA2">
        <w:rPr>
          <w:i/>
          <w:iCs/>
        </w:rPr>
        <w:t>o postępowaniu w sprawach dotyczących pomocy publicznej</w:t>
      </w:r>
      <w:r w:rsidRPr="00E32EA2">
        <w:t>.</w:t>
      </w:r>
    </w:p>
    <w:p w14:paraId="6C6DED97" w14:textId="77777777" w:rsidR="00E32EA2" w:rsidRPr="00E32EA2" w:rsidRDefault="00E32EA2" w:rsidP="00E32EA2">
      <w:r w:rsidRPr="00E32EA2">
        <w:t>Wnioski o pomoc należy składać za pośrednictwem PUE ARiMR</w:t>
      </w:r>
    </w:p>
    <w:p w14:paraId="50409B1D" w14:textId="77777777" w:rsidR="00E32EA2" w:rsidRPr="00E32EA2" w:rsidRDefault="00E32EA2" w:rsidP="00E32EA2">
      <w:r w:rsidRPr="00E32EA2">
        <w:t>Na podstawie postanowień § 13zf ust. 3a rozporządzenia Rady Ministrów z dnia 27 stycznia 2015 r. formularz wniosku o pomoc został udostępniony w wersji elektronicznej na stronie internetowej ARiMR – Platforma Usług Elektronicznych (PUE).</w:t>
      </w:r>
    </w:p>
    <w:p w14:paraId="598B78AE" w14:textId="77777777" w:rsidR="00E32EA2" w:rsidRPr="00E32EA2" w:rsidRDefault="00E32EA2" w:rsidP="00E32EA2">
      <w:r w:rsidRPr="00E32EA2">
        <w:rPr>
          <w:b/>
          <w:bCs/>
        </w:rPr>
        <w:t>WAŻNE:</w:t>
      </w:r>
      <w:r w:rsidRPr="00E32EA2">
        <w:br/>
        <w:t>Do złożenia wniosku za pośrednictwem PUE ARiMR, </w:t>
      </w:r>
      <w:r w:rsidRPr="00E32EA2">
        <w:rPr>
          <w:b/>
          <w:bCs/>
        </w:rPr>
        <w:t>niezbędne jest posiadanie lub uprzednie uzyskanie numeru identyfikacyjnego (tzw. nr EP)</w:t>
      </w:r>
      <w:r w:rsidRPr="00E32EA2">
        <w:t>, nadanego w trybie przepisów o</w:t>
      </w:r>
      <w:r w:rsidRPr="00E32EA2">
        <w:rPr>
          <w:i/>
          <w:iCs/>
        </w:rPr>
        <w:t> krajowym systemie ewidencji producentów, ewidencji gospodarstw rolnych oraz ewidencji wniosków o przyznanie płatności producenta</w:t>
      </w:r>
      <w:r w:rsidRPr="00E32EA2">
        <w:t>.</w:t>
      </w:r>
    </w:p>
    <w:p w14:paraId="56A1A08C" w14:textId="77777777" w:rsidR="00E32EA2" w:rsidRPr="00E32EA2" w:rsidRDefault="00E32EA2" w:rsidP="00E32EA2">
      <w:r w:rsidRPr="00E32EA2">
        <w:t>Pszczelarz składa wniosek przez Internet po zalogowaniu się do Platformy Usług Elektronicznych </w:t>
      </w:r>
      <w:hyperlink r:id="rId9" w:history="1">
        <w:r w:rsidRPr="00E32EA2">
          <w:rPr>
            <w:rStyle w:val="Hipercze"/>
          </w:rPr>
          <w:t>(</w:t>
        </w:r>
        <w:r w:rsidRPr="00E32EA2">
          <w:rPr>
            <w:rStyle w:val="Hipercze"/>
            <w:b/>
            <w:bCs/>
          </w:rPr>
          <w:t>PUE</w:t>
        </w:r>
      </w:hyperlink>
      <w:hyperlink r:id="rId10" w:history="1">
        <w:r w:rsidRPr="00E32EA2">
          <w:rPr>
            <w:rStyle w:val="Hipercze"/>
          </w:rPr>
          <w:t>)</w:t>
        </w:r>
      </w:hyperlink>
      <w:r w:rsidRPr="00E32EA2">
        <w:t>, dostępnej na stronie internetowej Agencji.</w:t>
      </w:r>
    </w:p>
    <w:p w14:paraId="119905EF" w14:textId="77777777" w:rsidR="00E32EA2" w:rsidRPr="00E32EA2" w:rsidRDefault="00E32EA2" w:rsidP="00E32EA2">
      <w:r w:rsidRPr="00E32EA2">
        <w:t>Za datę złożenia wniosku przyjmuje się datę wystawienia przez system potwierdzenia wysłania wniosku przez producenta rolnego w aplikacji PUE.</w:t>
      </w:r>
    </w:p>
    <w:p w14:paraId="36856AF5" w14:textId="77777777" w:rsidR="00E32EA2" w:rsidRPr="00E32EA2" w:rsidRDefault="00E32EA2" w:rsidP="00E32EA2">
      <w:r w:rsidRPr="00E32EA2">
        <w:t>Informacje o krokach postępowania przy wypełnianiu elektronicznego formularza wniosku na Platformie Usług Elektronicznych zostały zawarte w instrukcji jego wypełniania.</w:t>
      </w:r>
    </w:p>
    <w:p w14:paraId="3764F745" w14:textId="77777777" w:rsidR="00E32EA2" w:rsidRPr="00E32EA2" w:rsidRDefault="00E32EA2" w:rsidP="00E32EA2">
      <w:r w:rsidRPr="00E32EA2">
        <w:rPr>
          <w:b/>
          <w:bCs/>
        </w:rPr>
        <w:t>Producent rolny, składając wniosek poprzez Platformę Usług Elektronicznych m.in.:</w:t>
      </w:r>
    </w:p>
    <w:p w14:paraId="376EE9BC" w14:textId="77777777" w:rsidR="00E32EA2" w:rsidRPr="00E32EA2" w:rsidRDefault="00E32EA2" w:rsidP="00E32EA2">
      <w:pPr>
        <w:numPr>
          <w:ilvl w:val="0"/>
          <w:numId w:val="3"/>
        </w:numPr>
      </w:pPr>
      <w:r w:rsidRPr="00E32EA2">
        <w:t>deklaruje liczbę przezimowanych rodzin pszczelich, do której wnioskuje o pomoc;</w:t>
      </w:r>
    </w:p>
    <w:p w14:paraId="350998B4" w14:textId="77777777" w:rsidR="00E32EA2" w:rsidRPr="00E32EA2" w:rsidRDefault="00E32EA2" w:rsidP="00E32EA2">
      <w:pPr>
        <w:numPr>
          <w:ilvl w:val="0"/>
          <w:numId w:val="3"/>
        </w:numPr>
      </w:pPr>
      <w:r w:rsidRPr="00E32EA2">
        <w:t>składa oświadczenie, że zgodnie z przepisami art. 10c ust. 3 ustawy z dnia 9 maja 2008 r. </w:t>
      </w:r>
      <w:r w:rsidRPr="00E32EA2">
        <w:rPr>
          <w:i/>
          <w:iCs/>
        </w:rPr>
        <w:t>o Agencji Restrukturyzacji i Modernizacji Rolnictwa</w:t>
      </w:r>
      <w:r w:rsidRPr="00E32EA2">
        <w:t> (Dz. U. z 2025 r. poz. 1363) wyraża zgodę na prowadzenie postępowania administracyjnego, które zostało wszczęte na Wniosek </w:t>
      </w:r>
      <w:r w:rsidRPr="00E32EA2">
        <w:rPr>
          <w:b/>
          <w:bCs/>
        </w:rPr>
        <w:t>o pomoc finansową dla pszczelarzy </w:t>
      </w:r>
      <w:r w:rsidRPr="00E32EA2">
        <w:t>będących podmiotami prowadzącymi działalność nadzorowaną w zakresie utrzymywania pszczół </w:t>
      </w:r>
      <w:r w:rsidRPr="00E32EA2">
        <w:rPr>
          <w:b/>
          <w:bCs/>
        </w:rPr>
        <w:t>wpisanych do rejestru, </w:t>
      </w:r>
      <w:r w:rsidRPr="00E32EA2">
        <w:t>o którym mowa w art. 67 ust. 1 ustawy z dnia 21 listopada 2025 r.</w:t>
      </w:r>
      <w:r w:rsidRPr="00E32EA2">
        <w:rPr>
          <w:i/>
          <w:iCs/>
        </w:rPr>
        <w:t> o zdrowiu zwierząt, </w:t>
      </w:r>
      <w:r w:rsidRPr="00E32EA2">
        <w:t>złożony za pomocą systemu teleinformatycznego Agencji, a także wymianę korespondencji dotyczącej postępowania, w tym składania pism i doręczania pism oraz wykonywania innych czynności dotyczących postępowania, w tym podpisywania dokumentów, za pomocą systemu teleinformatycznego Agencji zgodnie art. 10c ust. 7 ustawy z dnia 9 maja 2008 r. </w:t>
      </w:r>
      <w:r w:rsidRPr="00E32EA2">
        <w:rPr>
          <w:i/>
          <w:iCs/>
        </w:rPr>
        <w:t>o ARiMR</w:t>
      </w:r>
      <w:r w:rsidRPr="00E32EA2">
        <w:t> oraz, że został pouczony o skutkach wyrażenia zgody na wymianę korespondencji.</w:t>
      </w:r>
    </w:p>
    <w:p w14:paraId="4C340F33" w14:textId="77777777" w:rsidR="00E32EA2" w:rsidRPr="00E32EA2" w:rsidRDefault="00E32EA2" w:rsidP="00E32EA2">
      <w:r w:rsidRPr="00E32EA2">
        <w:rPr>
          <w:b/>
          <w:bCs/>
        </w:rPr>
        <w:t>W przypadku, jeżeli osoba zamierzająca wnioskować o udzielenie pomocy nie posiada możliwości samodzielnego złożenia wniosku, może skorzystać z pomocy świadczonej w tym zakresie w Biurach Powiatowych ARiMR.</w:t>
      </w:r>
    </w:p>
    <w:p w14:paraId="04380141" w14:textId="77777777" w:rsidR="00E32EA2" w:rsidRPr="00E32EA2" w:rsidRDefault="00E32EA2" w:rsidP="00E32EA2">
      <w:r w:rsidRPr="00E32EA2">
        <w:t>Dane teleadresowe placówek ARiMR znajdują się na stronie Agencji pod niżej wskazanym adresem.</w:t>
      </w:r>
    </w:p>
    <w:p w14:paraId="7394D966" w14:textId="77777777" w:rsidR="00E32EA2" w:rsidRPr="00E32EA2" w:rsidRDefault="00E32EA2" w:rsidP="00E32EA2">
      <w:hyperlink r:id="rId11" w:history="1">
        <w:r w:rsidRPr="00E32EA2">
          <w:rPr>
            <w:rStyle w:val="Hipercze"/>
          </w:rPr>
          <w:t>https://www.gov.pl/web/arimr/oddzialy-regionalne-i-biura-powiatowe</w:t>
        </w:r>
      </w:hyperlink>
    </w:p>
    <w:p w14:paraId="30652680" w14:textId="77777777" w:rsidR="00E32EA2" w:rsidRPr="00E32EA2" w:rsidRDefault="00E32EA2" w:rsidP="00E32EA2">
      <w:r w:rsidRPr="00E32EA2">
        <w:t> Wszelkie pytania dotyczące naboru Wniosków </w:t>
      </w:r>
      <w:r w:rsidRPr="00E32EA2">
        <w:rPr>
          <w:b/>
          <w:bCs/>
        </w:rPr>
        <w:t>o pomoc finansową dla pszczelarzy </w:t>
      </w:r>
      <w:r w:rsidRPr="00E32EA2">
        <w:t>będących podmiotami prowadzącymi działalność nadzorowaną w zakresie utrzymywania pszczół </w:t>
      </w:r>
      <w:r w:rsidRPr="00E32EA2">
        <w:rPr>
          <w:b/>
          <w:bCs/>
        </w:rPr>
        <w:t>wpisanych do rejestru, </w:t>
      </w:r>
      <w:r w:rsidRPr="00E32EA2">
        <w:t>o którym mowa w art. 67 ust. 1 ustawy z dnia 21 listopada 2025 r.</w:t>
      </w:r>
      <w:r w:rsidRPr="00E32EA2">
        <w:rPr>
          <w:i/>
          <w:iCs/>
        </w:rPr>
        <w:t> o zdrowiu zwierząt </w:t>
      </w:r>
      <w:r w:rsidRPr="00E32EA2">
        <w:t>należy kierować do właściwych miejscowo palcówek ARiMR (dane kontaktowe: </w:t>
      </w:r>
      <w:hyperlink r:id="rId12" w:history="1">
        <w:r w:rsidRPr="00E32EA2">
          <w:rPr>
            <w:rStyle w:val="Hipercze"/>
          </w:rPr>
          <w:t>https://www.gov.pl/web/arimr/oddzialy-regionalne-i-biura-powiatowe</w:t>
        </w:r>
      </w:hyperlink>
      <w:r w:rsidRPr="00E32EA2">
        <w:t>) lub pod numer bezpłatnej infolinii – tel. 800-38-00-84.</w:t>
      </w:r>
    </w:p>
    <w:p w14:paraId="3382CD80" w14:textId="77777777" w:rsidR="00E32EA2" w:rsidRPr="00E32EA2" w:rsidRDefault="00E32EA2" w:rsidP="00E32EA2">
      <w:pPr>
        <w:rPr>
          <w:b/>
          <w:bCs/>
        </w:rPr>
      </w:pPr>
      <w:r w:rsidRPr="00E32EA2">
        <w:rPr>
          <w:b/>
          <w:bCs/>
        </w:rPr>
        <w:t>Materiały</w:t>
      </w:r>
    </w:p>
    <w:p w14:paraId="3C12688A" w14:textId="77777777" w:rsidR="00E32EA2" w:rsidRPr="00E32EA2" w:rsidRDefault="00E32EA2" w:rsidP="00E32EA2">
      <w:hyperlink r:id="rId13" w:tgtFrame="_blank" w:history="1">
        <w:r w:rsidRPr="00E32EA2">
          <w:rPr>
            <w:rStyle w:val="Hipercze"/>
            <w:b/>
            <w:bCs/>
          </w:rPr>
          <w:t>Instrukcja obsługi wniosku na PUE ARiMR</w:t>
        </w:r>
        <w:r w:rsidRPr="00E32EA2">
          <w:rPr>
            <w:rStyle w:val="Hipercze"/>
            <w:b/>
            <w:bCs/>
          </w:rPr>
          <w:br/>
        </w:r>
        <w:r w:rsidRPr="00E32EA2">
          <w:rPr>
            <w:rStyle w:val="Hipercze"/>
          </w:rPr>
          <w:t>INSTRUKCJA</w:t>
        </w:r>
        <w:r w:rsidRPr="00E32EA2">
          <w:rPr>
            <w:rStyle w:val="Hipercze"/>
            <w:rFonts w:ascii="Arial" w:hAnsi="Arial" w:cs="Arial"/>
          </w:rPr>
          <w:t>​</w:t>
        </w:r>
        <w:r w:rsidRPr="00E32EA2">
          <w:rPr>
            <w:rStyle w:val="Hipercze"/>
          </w:rPr>
          <w:t>_PUE</w:t>
        </w:r>
        <w:r w:rsidRPr="00E32EA2">
          <w:rPr>
            <w:rStyle w:val="Hipercze"/>
            <w:rFonts w:ascii="Arial" w:hAnsi="Arial" w:cs="Arial"/>
          </w:rPr>
          <w:t>​</w:t>
        </w:r>
        <w:r w:rsidRPr="00E32EA2">
          <w:rPr>
            <w:rStyle w:val="Hipercze"/>
          </w:rPr>
          <w:t>_obsluga</w:t>
        </w:r>
        <w:r w:rsidRPr="00E32EA2">
          <w:rPr>
            <w:rStyle w:val="Hipercze"/>
            <w:rFonts w:ascii="Arial" w:hAnsi="Arial" w:cs="Arial"/>
          </w:rPr>
          <w:t>​</w:t>
        </w:r>
        <w:r w:rsidRPr="00E32EA2">
          <w:rPr>
            <w:rStyle w:val="Hipercze"/>
          </w:rPr>
          <w:t>_wniosku</w:t>
        </w:r>
        <w:r w:rsidRPr="00E32EA2">
          <w:rPr>
            <w:rStyle w:val="Hipercze"/>
            <w:rFonts w:ascii="Arial" w:hAnsi="Arial" w:cs="Arial"/>
          </w:rPr>
          <w:t>​</w:t>
        </w:r>
        <w:r w:rsidRPr="00E32EA2">
          <w:rPr>
            <w:rStyle w:val="Hipercze"/>
          </w:rPr>
          <w:t>_pszczoly</w:t>
        </w:r>
        <w:r w:rsidRPr="00E32EA2">
          <w:rPr>
            <w:rStyle w:val="Hipercze"/>
            <w:rFonts w:ascii="Arial" w:hAnsi="Arial" w:cs="Arial"/>
          </w:rPr>
          <w:t>​</w:t>
        </w:r>
        <w:r w:rsidRPr="00E32EA2">
          <w:rPr>
            <w:rStyle w:val="Hipercze"/>
          </w:rPr>
          <w:t>_przezimowane</w:t>
        </w:r>
        <w:r w:rsidRPr="00E32EA2">
          <w:rPr>
            <w:rStyle w:val="Hipercze"/>
            <w:rFonts w:ascii="Arial" w:hAnsi="Arial" w:cs="Arial"/>
          </w:rPr>
          <w:t>​</w:t>
        </w:r>
        <w:r w:rsidRPr="00E32EA2">
          <w:rPr>
            <w:rStyle w:val="Hipercze"/>
          </w:rPr>
          <w:t>_nabor2026</w:t>
        </w:r>
        <w:r w:rsidRPr="00E32EA2">
          <w:rPr>
            <w:rStyle w:val="Hipercze"/>
            <w:rFonts w:ascii="Arial" w:hAnsi="Arial" w:cs="Arial"/>
          </w:rPr>
          <w:t>​</w:t>
        </w:r>
        <w:r w:rsidRPr="00E32EA2">
          <w:rPr>
            <w:rStyle w:val="Hipercze"/>
          </w:rPr>
          <w:t>_wer2.pdf</w:t>
        </w:r>
        <w:r w:rsidRPr="00E32EA2">
          <w:rPr>
            <w:rStyle w:val="Hipercze"/>
            <w:b/>
            <w:bCs/>
          </w:rPr>
          <w:t> </w:t>
        </w:r>
        <w:r w:rsidRPr="00E32EA2">
          <w:rPr>
            <w:rStyle w:val="Hipercze"/>
          </w:rPr>
          <w:t>3.13MB</w:t>
        </w:r>
      </w:hyperlink>
      <w:hyperlink r:id="rId14" w:tgtFrame="_blank" w:history="1">
        <w:r w:rsidRPr="00E32EA2">
          <w:rPr>
            <w:rStyle w:val="Hipercze"/>
            <w:b/>
            <w:bCs/>
          </w:rPr>
          <w:t xml:space="preserve">Instrukcja obsługa zmian, korekt, wycofań, </w:t>
        </w:r>
        <w:proofErr w:type="spellStart"/>
        <w:r w:rsidRPr="00E32EA2">
          <w:rPr>
            <w:rStyle w:val="Hipercze"/>
            <w:b/>
            <w:bCs/>
          </w:rPr>
          <w:t>odwołań</w:t>
        </w:r>
        <w:proofErr w:type="spellEnd"/>
        <w:r w:rsidRPr="00E32EA2">
          <w:rPr>
            <w:rStyle w:val="Hipercze"/>
            <w:b/>
            <w:bCs/>
          </w:rPr>
          <w:t xml:space="preserve"> i innej korespondencji na PUE ARiMR</w:t>
        </w:r>
        <w:r w:rsidRPr="00E32EA2">
          <w:rPr>
            <w:rStyle w:val="Hipercze"/>
            <w:b/>
            <w:bCs/>
          </w:rPr>
          <w:br/>
        </w:r>
        <w:r w:rsidRPr="00E32EA2">
          <w:rPr>
            <w:rStyle w:val="Hipercze"/>
          </w:rPr>
          <w:t>INSTRUKCJA</w:t>
        </w:r>
        <w:r w:rsidRPr="00E32EA2">
          <w:rPr>
            <w:rStyle w:val="Hipercze"/>
            <w:rFonts w:ascii="Arial" w:hAnsi="Arial" w:cs="Arial"/>
          </w:rPr>
          <w:t>​</w:t>
        </w:r>
        <w:r w:rsidRPr="00E32EA2">
          <w:rPr>
            <w:rStyle w:val="Hipercze"/>
          </w:rPr>
          <w:t>_PUE</w:t>
        </w:r>
        <w:r w:rsidRPr="00E32EA2">
          <w:rPr>
            <w:rStyle w:val="Hipercze"/>
            <w:rFonts w:ascii="Arial" w:hAnsi="Arial" w:cs="Arial"/>
          </w:rPr>
          <w:t>​</w:t>
        </w:r>
        <w:r w:rsidRPr="00E32EA2">
          <w:rPr>
            <w:rStyle w:val="Hipercze"/>
          </w:rPr>
          <w:t>_zmiana</w:t>
        </w:r>
        <w:r w:rsidRPr="00E32EA2">
          <w:rPr>
            <w:rStyle w:val="Hipercze"/>
            <w:rFonts w:ascii="Arial" w:hAnsi="Arial" w:cs="Arial"/>
          </w:rPr>
          <w:t>​</w:t>
        </w:r>
        <w:r w:rsidRPr="00E32EA2">
          <w:rPr>
            <w:rStyle w:val="Hipercze"/>
          </w:rPr>
          <w:t>_korekta</w:t>
        </w:r>
        <w:r w:rsidRPr="00E32EA2">
          <w:rPr>
            <w:rStyle w:val="Hipercze"/>
            <w:rFonts w:ascii="Arial" w:hAnsi="Arial" w:cs="Arial"/>
          </w:rPr>
          <w:t>​</w:t>
        </w:r>
        <w:r w:rsidRPr="00E32EA2">
          <w:rPr>
            <w:rStyle w:val="Hipercze"/>
          </w:rPr>
          <w:t>_itd</w:t>
        </w:r>
        <w:r w:rsidRPr="00E32EA2">
          <w:rPr>
            <w:rStyle w:val="Hipercze"/>
            <w:rFonts w:ascii="Arial" w:hAnsi="Arial" w:cs="Arial"/>
          </w:rPr>
          <w:t>​</w:t>
        </w:r>
        <w:r w:rsidRPr="00E32EA2">
          <w:rPr>
            <w:rStyle w:val="Hipercze"/>
          </w:rPr>
          <w:t>_pszczoly</w:t>
        </w:r>
        <w:r w:rsidRPr="00E32EA2">
          <w:rPr>
            <w:rStyle w:val="Hipercze"/>
            <w:rFonts w:ascii="Arial" w:hAnsi="Arial" w:cs="Arial"/>
          </w:rPr>
          <w:t>​</w:t>
        </w:r>
        <w:r w:rsidRPr="00E32EA2">
          <w:rPr>
            <w:rStyle w:val="Hipercze"/>
          </w:rPr>
          <w:t>_przezimowane</w:t>
        </w:r>
        <w:r w:rsidRPr="00E32EA2">
          <w:rPr>
            <w:rStyle w:val="Hipercze"/>
            <w:rFonts w:ascii="Arial" w:hAnsi="Arial" w:cs="Arial"/>
          </w:rPr>
          <w:t>​</w:t>
        </w:r>
        <w:r w:rsidRPr="00E32EA2">
          <w:rPr>
            <w:rStyle w:val="Hipercze"/>
          </w:rPr>
          <w:t>_nabor2026</w:t>
        </w:r>
        <w:r w:rsidRPr="00E32EA2">
          <w:rPr>
            <w:rStyle w:val="Hipercze"/>
            <w:rFonts w:ascii="Arial" w:hAnsi="Arial" w:cs="Arial"/>
          </w:rPr>
          <w:t>​</w:t>
        </w:r>
        <w:r w:rsidRPr="00E32EA2">
          <w:rPr>
            <w:rStyle w:val="Hipercze"/>
          </w:rPr>
          <w:t>_wer2.pdf</w:t>
        </w:r>
        <w:r w:rsidRPr="00E32EA2">
          <w:rPr>
            <w:rStyle w:val="Hipercze"/>
            <w:b/>
            <w:bCs/>
          </w:rPr>
          <w:t> </w:t>
        </w:r>
        <w:r w:rsidRPr="00E32EA2">
          <w:rPr>
            <w:rStyle w:val="Hipercze"/>
          </w:rPr>
          <w:t>1.02MB</w:t>
        </w:r>
      </w:hyperlink>
      <w:hyperlink r:id="rId15" w:tgtFrame="_blank" w:history="1">
        <w:r w:rsidRPr="00E32EA2">
          <w:rPr>
            <w:rStyle w:val="Hipercze"/>
            <w:b/>
            <w:bCs/>
          </w:rPr>
          <w:t>Instrukcja ustanawiania pełnomocnika na PUE ARiMR</w:t>
        </w:r>
        <w:r w:rsidRPr="00E32EA2">
          <w:rPr>
            <w:rStyle w:val="Hipercze"/>
            <w:b/>
            <w:bCs/>
          </w:rPr>
          <w:br/>
        </w:r>
        <w:r w:rsidRPr="00E32EA2">
          <w:rPr>
            <w:rStyle w:val="Hipercze"/>
          </w:rPr>
          <w:t>PUE</w:t>
        </w:r>
        <w:r w:rsidRPr="00E32EA2">
          <w:rPr>
            <w:rStyle w:val="Hipercze"/>
            <w:rFonts w:ascii="Arial" w:hAnsi="Arial" w:cs="Arial"/>
          </w:rPr>
          <w:t>​</w:t>
        </w:r>
        <w:r w:rsidRPr="00E32EA2">
          <w:rPr>
            <w:rStyle w:val="Hipercze"/>
          </w:rPr>
          <w:t>_Instrukcja</w:t>
        </w:r>
        <w:r w:rsidRPr="00E32EA2">
          <w:rPr>
            <w:rStyle w:val="Hipercze"/>
            <w:rFonts w:ascii="Arial" w:hAnsi="Arial" w:cs="Arial"/>
          </w:rPr>
          <w:t>​</w:t>
        </w:r>
        <w:r w:rsidRPr="00E32EA2">
          <w:rPr>
            <w:rStyle w:val="Hipercze"/>
          </w:rPr>
          <w:t>_ustanawiania</w:t>
        </w:r>
        <w:r w:rsidRPr="00E32EA2">
          <w:rPr>
            <w:rStyle w:val="Hipercze"/>
            <w:rFonts w:ascii="Arial" w:hAnsi="Arial" w:cs="Arial"/>
          </w:rPr>
          <w:t>​</w:t>
        </w:r>
        <w:r w:rsidRPr="00E32EA2">
          <w:rPr>
            <w:rStyle w:val="Hipercze"/>
          </w:rPr>
          <w:t>_pe</w:t>
        </w:r>
        <w:r w:rsidRPr="00E32EA2">
          <w:rPr>
            <w:rStyle w:val="Hipercze"/>
            <w:rFonts w:ascii="Aptos" w:hAnsi="Aptos" w:cs="Aptos"/>
          </w:rPr>
          <w:t>ł</w:t>
        </w:r>
        <w:r w:rsidRPr="00E32EA2">
          <w:rPr>
            <w:rStyle w:val="Hipercze"/>
          </w:rPr>
          <w:t>nomocnika.pdf</w:t>
        </w:r>
        <w:r w:rsidRPr="00E32EA2">
          <w:rPr>
            <w:rStyle w:val="Hipercze"/>
            <w:b/>
            <w:bCs/>
          </w:rPr>
          <w:t> </w:t>
        </w:r>
        <w:r w:rsidRPr="00E32EA2">
          <w:rPr>
            <w:rStyle w:val="Hipercze"/>
          </w:rPr>
          <w:t>2.45MB</w:t>
        </w:r>
      </w:hyperlink>
    </w:p>
    <w:p w14:paraId="29414316" w14:textId="77777777" w:rsidR="00E32EA2" w:rsidRPr="00E32EA2" w:rsidRDefault="00E32EA2" w:rsidP="00E32EA2">
      <w:pPr>
        <w:rPr>
          <w:b/>
          <w:bCs/>
        </w:rPr>
      </w:pPr>
      <w:r w:rsidRPr="00E32EA2">
        <w:rPr>
          <w:b/>
          <w:bCs/>
        </w:rPr>
        <w:t>Podstawa prawna</w:t>
      </w:r>
    </w:p>
    <w:p w14:paraId="47B76B5F" w14:textId="77777777" w:rsidR="00E32EA2" w:rsidRPr="00E32EA2" w:rsidRDefault="00E32EA2" w:rsidP="00E32EA2">
      <w:r w:rsidRPr="00E32EA2">
        <w:t xml:space="preserve">§ 13zf rozporządzenia Rady Ministrów z dnia 27 stycznia 2015 r. w sprawie szczegółowego zakresu i sposobów realizacji niektórych zadań Agencji Restrukturyzacji i Modernizacji Rolnictwa (Dz. U. z 2015 r. poz. 187, z </w:t>
      </w:r>
      <w:proofErr w:type="spellStart"/>
      <w:r w:rsidRPr="00E32EA2">
        <w:t>późn</w:t>
      </w:r>
      <w:proofErr w:type="spellEnd"/>
      <w:r w:rsidRPr="00E32EA2">
        <w:t>. zm.)</w:t>
      </w:r>
    </w:p>
    <w:p w14:paraId="629F072F" w14:textId="77777777" w:rsidR="00E32EA2" w:rsidRPr="00E32EA2" w:rsidRDefault="00E32EA2" w:rsidP="00E32EA2">
      <w:r w:rsidRPr="00E32EA2">
        <w:t>Ustawa z dnia 21 listopada 2025 r. o zdrowiu zwierząt (Dz. U. z 2025 r. poz. 1795)</w:t>
      </w:r>
    </w:p>
    <w:p w14:paraId="5F7490E8" w14:textId="77777777" w:rsidR="00E32EA2" w:rsidRDefault="00E32EA2"/>
    <w:sectPr w:rsidR="00E32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34956"/>
    <w:multiLevelType w:val="multilevel"/>
    <w:tmpl w:val="4B28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F122C0"/>
    <w:multiLevelType w:val="multilevel"/>
    <w:tmpl w:val="9A50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A134CB"/>
    <w:multiLevelType w:val="multilevel"/>
    <w:tmpl w:val="25D4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506253">
    <w:abstractNumId w:val="2"/>
  </w:num>
  <w:num w:numId="2" w16cid:durableId="1386444545">
    <w:abstractNumId w:val="0"/>
  </w:num>
  <w:num w:numId="3" w16cid:durableId="1833065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DE"/>
    <w:rsid w:val="001F37CC"/>
    <w:rsid w:val="00AC75DE"/>
    <w:rsid w:val="00DA1B15"/>
    <w:rsid w:val="00E32EA2"/>
    <w:rsid w:val="00E32F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C5AE"/>
  <w15:chartTrackingRefBased/>
  <w15:docId w15:val="{762A94A8-35B9-49DC-9391-AA6AF46F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C7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C7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C75D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C75D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C75D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75D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75D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75D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75D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75D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C75D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C75D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C75D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C75D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75D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75D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75D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75DE"/>
    <w:rPr>
      <w:rFonts w:eastAsiaTheme="majorEastAsia" w:cstheme="majorBidi"/>
      <w:color w:val="272727" w:themeColor="text1" w:themeTint="D8"/>
    </w:rPr>
  </w:style>
  <w:style w:type="paragraph" w:styleId="Tytu">
    <w:name w:val="Title"/>
    <w:basedOn w:val="Normalny"/>
    <w:next w:val="Normalny"/>
    <w:link w:val="TytuZnak"/>
    <w:uiPriority w:val="10"/>
    <w:qFormat/>
    <w:rsid w:val="00AC75D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75D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75DE"/>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75D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75DE"/>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C75DE"/>
    <w:rPr>
      <w:i/>
      <w:iCs/>
      <w:color w:val="404040" w:themeColor="text1" w:themeTint="BF"/>
    </w:rPr>
  </w:style>
  <w:style w:type="paragraph" w:styleId="Akapitzlist">
    <w:name w:val="List Paragraph"/>
    <w:basedOn w:val="Normalny"/>
    <w:uiPriority w:val="34"/>
    <w:qFormat/>
    <w:rsid w:val="00AC75DE"/>
    <w:pPr>
      <w:ind w:left="720"/>
      <w:contextualSpacing/>
    </w:pPr>
  </w:style>
  <w:style w:type="character" w:styleId="Wyrnienieintensywne">
    <w:name w:val="Intense Emphasis"/>
    <w:basedOn w:val="Domylnaczcionkaakapitu"/>
    <w:uiPriority w:val="21"/>
    <w:qFormat/>
    <w:rsid w:val="00AC75DE"/>
    <w:rPr>
      <w:i/>
      <w:iCs/>
      <w:color w:val="0F4761" w:themeColor="accent1" w:themeShade="BF"/>
    </w:rPr>
  </w:style>
  <w:style w:type="paragraph" w:styleId="Cytatintensywny">
    <w:name w:val="Intense Quote"/>
    <w:basedOn w:val="Normalny"/>
    <w:next w:val="Normalny"/>
    <w:link w:val="CytatintensywnyZnak"/>
    <w:uiPriority w:val="30"/>
    <w:qFormat/>
    <w:rsid w:val="00AC7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75DE"/>
    <w:rPr>
      <w:i/>
      <w:iCs/>
      <w:color w:val="0F4761" w:themeColor="accent1" w:themeShade="BF"/>
    </w:rPr>
  </w:style>
  <w:style w:type="character" w:styleId="Odwoanieintensywne">
    <w:name w:val="Intense Reference"/>
    <w:basedOn w:val="Domylnaczcionkaakapitu"/>
    <w:uiPriority w:val="32"/>
    <w:qFormat/>
    <w:rsid w:val="00AC75DE"/>
    <w:rPr>
      <w:b/>
      <w:bCs/>
      <w:smallCaps/>
      <w:color w:val="0F4761" w:themeColor="accent1" w:themeShade="BF"/>
      <w:spacing w:val="5"/>
    </w:rPr>
  </w:style>
  <w:style w:type="character" w:styleId="Hipercze">
    <w:name w:val="Hyperlink"/>
    <w:basedOn w:val="Domylnaczcionkaakapitu"/>
    <w:uiPriority w:val="99"/>
    <w:unhideWhenUsed/>
    <w:rsid w:val="00E32EA2"/>
    <w:rPr>
      <w:color w:val="467886" w:themeColor="hyperlink"/>
      <w:u w:val="single"/>
    </w:rPr>
  </w:style>
  <w:style w:type="character" w:styleId="Nierozpoznanawzmianka">
    <w:name w:val="Unresolved Mention"/>
    <w:basedOn w:val="Domylnaczcionkaakapitu"/>
    <w:uiPriority w:val="99"/>
    <w:semiHidden/>
    <w:unhideWhenUsed/>
    <w:rsid w:val="00E32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0336">
      <w:bodyDiv w:val="1"/>
      <w:marLeft w:val="0"/>
      <w:marRight w:val="0"/>
      <w:marTop w:val="0"/>
      <w:marBottom w:val="0"/>
      <w:divBdr>
        <w:top w:val="none" w:sz="0" w:space="0" w:color="auto"/>
        <w:left w:val="none" w:sz="0" w:space="0" w:color="auto"/>
        <w:bottom w:val="none" w:sz="0" w:space="0" w:color="auto"/>
        <w:right w:val="none" w:sz="0" w:space="0" w:color="auto"/>
      </w:divBdr>
      <w:divsChild>
        <w:div w:id="542059495">
          <w:marLeft w:val="0"/>
          <w:marRight w:val="0"/>
          <w:marTop w:val="0"/>
          <w:marBottom w:val="0"/>
          <w:divBdr>
            <w:top w:val="none" w:sz="0" w:space="0" w:color="auto"/>
            <w:left w:val="none" w:sz="0" w:space="0" w:color="auto"/>
            <w:bottom w:val="none" w:sz="0" w:space="0" w:color="auto"/>
            <w:right w:val="none" w:sz="0" w:space="0" w:color="auto"/>
          </w:divBdr>
          <w:divsChild>
            <w:div w:id="728577171">
              <w:marLeft w:val="0"/>
              <w:marRight w:val="0"/>
              <w:marTop w:val="0"/>
              <w:marBottom w:val="0"/>
              <w:divBdr>
                <w:top w:val="none" w:sz="0" w:space="0" w:color="auto"/>
                <w:left w:val="none" w:sz="0" w:space="0" w:color="auto"/>
                <w:bottom w:val="none" w:sz="0" w:space="0" w:color="auto"/>
                <w:right w:val="none" w:sz="0" w:space="0" w:color="auto"/>
              </w:divBdr>
              <w:divsChild>
                <w:div w:id="264504001">
                  <w:marLeft w:val="0"/>
                  <w:marRight w:val="0"/>
                  <w:marTop w:val="0"/>
                  <w:marBottom w:val="0"/>
                  <w:divBdr>
                    <w:top w:val="none" w:sz="0" w:space="0" w:color="auto"/>
                    <w:left w:val="none" w:sz="0" w:space="0" w:color="auto"/>
                    <w:bottom w:val="none" w:sz="0" w:space="0" w:color="auto"/>
                    <w:right w:val="none" w:sz="0" w:space="0" w:color="auto"/>
                  </w:divBdr>
                </w:div>
              </w:divsChild>
            </w:div>
            <w:div w:id="2029326056">
              <w:marLeft w:val="0"/>
              <w:marRight w:val="0"/>
              <w:marTop w:val="0"/>
              <w:marBottom w:val="0"/>
              <w:divBdr>
                <w:top w:val="none" w:sz="0" w:space="0" w:color="auto"/>
                <w:left w:val="none" w:sz="0" w:space="0" w:color="auto"/>
                <w:bottom w:val="none" w:sz="0" w:space="0" w:color="auto"/>
                <w:right w:val="none" w:sz="0" w:space="0" w:color="auto"/>
              </w:divBdr>
              <w:divsChild>
                <w:div w:id="102119171">
                  <w:marLeft w:val="0"/>
                  <w:marRight w:val="0"/>
                  <w:marTop w:val="0"/>
                  <w:marBottom w:val="0"/>
                  <w:divBdr>
                    <w:top w:val="none" w:sz="0" w:space="0" w:color="auto"/>
                    <w:left w:val="none" w:sz="0" w:space="0" w:color="auto"/>
                    <w:bottom w:val="none" w:sz="0" w:space="0" w:color="auto"/>
                    <w:right w:val="none" w:sz="0" w:space="0" w:color="auto"/>
                  </w:divBdr>
                </w:div>
              </w:divsChild>
            </w:div>
            <w:div w:id="1960186230">
              <w:marLeft w:val="0"/>
              <w:marRight w:val="0"/>
              <w:marTop w:val="0"/>
              <w:marBottom w:val="0"/>
              <w:divBdr>
                <w:top w:val="none" w:sz="0" w:space="0" w:color="auto"/>
                <w:left w:val="none" w:sz="0" w:space="0" w:color="auto"/>
                <w:bottom w:val="none" w:sz="0" w:space="0" w:color="auto"/>
                <w:right w:val="none" w:sz="0" w:space="0" w:color="auto"/>
              </w:divBdr>
              <w:divsChild>
                <w:div w:id="1402102099">
                  <w:marLeft w:val="0"/>
                  <w:marRight w:val="0"/>
                  <w:marTop w:val="0"/>
                  <w:marBottom w:val="0"/>
                  <w:divBdr>
                    <w:top w:val="none" w:sz="0" w:space="0" w:color="auto"/>
                    <w:left w:val="none" w:sz="0" w:space="0" w:color="auto"/>
                    <w:bottom w:val="none" w:sz="0" w:space="0" w:color="auto"/>
                    <w:right w:val="none" w:sz="0" w:space="0" w:color="auto"/>
                  </w:divBdr>
                </w:div>
                <w:div w:id="1667393122">
                  <w:marLeft w:val="0"/>
                  <w:marRight w:val="0"/>
                  <w:marTop w:val="0"/>
                  <w:marBottom w:val="0"/>
                  <w:divBdr>
                    <w:top w:val="none" w:sz="0" w:space="0" w:color="auto"/>
                    <w:left w:val="none" w:sz="0" w:space="0" w:color="auto"/>
                    <w:bottom w:val="none" w:sz="0" w:space="0" w:color="auto"/>
                    <w:right w:val="none" w:sz="0" w:space="0" w:color="auto"/>
                  </w:divBdr>
                </w:div>
              </w:divsChild>
            </w:div>
            <w:div w:id="591939415">
              <w:marLeft w:val="0"/>
              <w:marRight w:val="0"/>
              <w:marTop w:val="0"/>
              <w:marBottom w:val="0"/>
              <w:divBdr>
                <w:top w:val="none" w:sz="0" w:space="0" w:color="auto"/>
                <w:left w:val="none" w:sz="0" w:space="0" w:color="auto"/>
                <w:bottom w:val="none" w:sz="0" w:space="0" w:color="auto"/>
                <w:right w:val="none" w:sz="0" w:space="0" w:color="auto"/>
              </w:divBdr>
              <w:divsChild>
                <w:div w:id="801652187">
                  <w:marLeft w:val="0"/>
                  <w:marRight w:val="0"/>
                  <w:marTop w:val="0"/>
                  <w:marBottom w:val="0"/>
                  <w:divBdr>
                    <w:top w:val="none" w:sz="0" w:space="0" w:color="auto"/>
                    <w:left w:val="none" w:sz="0" w:space="0" w:color="auto"/>
                    <w:bottom w:val="none" w:sz="0" w:space="0" w:color="auto"/>
                    <w:right w:val="none" w:sz="0" w:space="0" w:color="auto"/>
                  </w:divBdr>
                </w:div>
              </w:divsChild>
            </w:div>
            <w:div w:id="1931814382">
              <w:marLeft w:val="0"/>
              <w:marRight w:val="0"/>
              <w:marTop w:val="0"/>
              <w:marBottom w:val="0"/>
              <w:divBdr>
                <w:top w:val="none" w:sz="0" w:space="0" w:color="auto"/>
                <w:left w:val="none" w:sz="0" w:space="0" w:color="auto"/>
                <w:bottom w:val="none" w:sz="0" w:space="0" w:color="auto"/>
                <w:right w:val="none" w:sz="0" w:space="0" w:color="auto"/>
              </w:divBdr>
              <w:divsChild>
                <w:div w:id="1994672427">
                  <w:marLeft w:val="0"/>
                  <w:marRight w:val="0"/>
                  <w:marTop w:val="0"/>
                  <w:marBottom w:val="0"/>
                  <w:divBdr>
                    <w:top w:val="none" w:sz="0" w:space="0" w:color="auto"/>
                    <w:left w:val="none" w:sz="0" w:space="0" w:color="auto"/>
                    <w:bottom w:val="none" w:sz="0" w:space="0" w:color="auto"/>
                    <w:right w:val="none" w:sz="0" w:space="0" w:color="auto"/>
                  </w:divBdr>
                </w:div>
                <w:div w:id="49083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2236">
          <w:marLeft w:val="0"/>
          <w:marRight w:val="0"/>
          <w:marTop w:val="0"/>
          <w:marBottom w:val="0"/>
          <w:divBdr>
            <w:top w:val="none" w:sz="0" w:space="0" w:color="auto"/>
            <w:left w:val="none" w:sz="0" w:space="0" w:color="auto"/>
            <w:bottom w:val="none" w:sz="0" w:space="0" w:color="auto"/>
            <w:right w:val="none" w:sz="0" w:space="0" w:color="auto"/>
          </w:divBdr>
        </w:div>
      </w:divsChild>
    </w:div>
    <w:div w:id="698353407">
      <w:bodyDiv w:val="1"/>
      <w:marLeft w:val="0"/>
      <w:marRight w:val="0"/>
      <w:marTop w:val="0"/>
      <w:marBottom w:val="0"/>
      <w:divBdr>
        <w:top w:val="none" w:sz="0" w:space="0" w:color="auto"/>
        <w:left w:val="none" w:sz="0" w:space="0" w:color="auto"/>
        <w:bottom w:val="none" w:sz="0" w:space="0" w:color="auto"/>
        <w:right w:val="none" w:sz="0" w:space="0" w:color="auto"/>
      </w:divBdr>
      <w:divsChild>
        <w:div w:id="365788992">
          <w:marLeft w:val="0"/>
          <w:marRight w:val="0"/>
          <w:marTop w:val="0"/>
          <w:marBottom w:val="0"/>
          <w:divBdr>
            <w:top w:val="none" w:sz="0" w:space="0" w:color="auto"/>
            <w:left w:val="none" w:sz="0" w:space="0" w:color="auto"/>
            <w:bottom w:val="none" w:sz="0" w:space="0" w:color="auto"/>
            <w:right w:val="none" w:sz="0" w:space="0" w:color="auto"/>
          </w:divBdr>
          <w:divsChild>
            <w:div w:id="1774475027">
              <w:marLeft w:val="0"/>
              <w:marRight w:val="0"/>
              <w:marTop w:val="0"/>
              <w:marBottom w:val="0"/>
              <w:divBdr>
                <w:top w:val="none" w:sz="0" w:space="0" w:color="auto"/>
                <w:left w:val="none" w:sz="0" w:space="0" w:color="auto"/>
                <w:bottom w:val="none" w:sz="0" w:space="0" w:color="auto"/>
                <w:right w:val="none" w:sz="0" w:space="0" w:color="auto"/>
              </w:divBdr>
              <w:divsChild>
                <w:div w:id="1846088348">
                  <w:marLeft w:val="0"/>
                  <w:marRight w:val="0"/>
                  <w:marTop w:val="0"/>
                  <w:marBottom w:val="0"/>
                  <w:divBdr>
                    <w:top w:val="none" w:sz="0" w:space="0" w:color="auto"/>
                    <w:left w:val="none" w:sz="0" w:space="0" w:color="auto"/>
                    <w:bottom w:val="none" w:sz="0" w:space="0" w:color="auto"/>
                    <w:right w:val="none" w:sz="0" w:space="0" w:color="auto"/>
                  </w:divBdr>
                </w:div>
              </w:divsChild>
            </w:div>
            <w:div w:id="929392048">
              <w:marLeft w:val="0"/>
              <w:marRight w:val="0"/>
              <w:marTop w:val="0"/>
              <w:marBottom w:val="0"/>
              <w:divBdr>
                <w:top w:val="none" w:sz="0" w:space="0" w:color="auto"/>
                <w:left w:val="none" w:sz="0" w:space="0" w:color="auto"/>
                <w:bottom w:val="none" w:sz="0" w:space="0" w:color="auto"/>
                <w:right w:val="none" w:sz="0" w:space="0" w:color="auto"/>
              </w:divBdr>
              <w:divsChild>
                <w:div w:id="283003323">
                  <w:marLeft w:val="0"/>
                  <w:marRight w:val="0"/>
                  <w:marTop w:val="0"/>
                  <w:marBottom w:val="0"/>
                  <w:divBdr>
                    <w:top w:val="none" w:sz="0" w:space="0" w:color="auto"/>
                    <w:left w:val="none" w:sz="0" w:space="0" w:color="auto"/>
                    <w:bottom w:val="none" w:sz="0" w:space="0" w:color="auto"/>
                    <w:right w:val="none" w:sz="0" w:space="0" w:color="auto"/>
                  </w:divBdr>
                </w:div>
              </w:divsChild>
            </w:div>
            <w:div w:id="382559533">
              <w:marLeft w:val="0"/>
              <w:marRight w:val="0"/>
              <w:marTop w:val="0"/>
              <w:marBottom w:val="0"/>
              <w:divBdr>
                <w:top w:val="none" w:sz="0" w:space="0" w:color="auto"/>
                <w:left w:val="none" w:sz="0" w:space="0" w:color="auto"/>
                <w:bottom w:val="none" w:sz="0" w:space="0" w:color="auto"/>
                <w:right w:val="none" w:sz="0" w:space="0" w:color="auto"/>
              </w:divBdr>
              <w:divsChild>
                <w:div w:id="350449167">
                  <w:marLeft w:val="0"/>
                  <w:marRight w:val="0"/>
                  <w:marTop w:val="0"/>
                  <w:marBottom w:val="0"/>
                  <w:divBdr>
                    <w:top w:val="none" w:sz="0" w:space="0" w:color="auto"/>
                    <w:left w:val="none" w:sz="0" w:space="0" w:color="auto"/>
                    <w:bottom w:val="none" w:sz="0" w:space="0" w:color="auto"/>
                    <w:right w:val="none" w:sz="0" w:space="0" w:color="auto"/>
                  </w:divBdr>
                </w:div>
                <w:div w:id="1283657853">
                  <w:marLeft w:val="0"/>
                  <w:marRight w:val="0"/>
                  <w:marTop w:val="0"/>
                  <w:marBottom w:val="0"/>
                  <w:divBdr>
                    <w:top w:val="none" w:sz="0" w:space="0" w:color="auto"/>
                    <w:left w:val="none" w:sz="0" w:space="0" w:color="auto"/>
                    <w:bottom w:val="none" w:sz="0" w:space="0" w:color="auto"/>
                    <w:right w:val="none" w:sz="0" w:space="0" w:color="auto"/>
                  </w:divBdr>
                </w:div>
              </w:divsChild>
            </w:div>
            <w:div w:id="2113089628">
              <w:marLeft w:val="0"/>
              <w:marRight w:val="0"/>
              <w:marTop w:val="0"/>
              <w:marBottom w:val="0"/>
              <w:divBdr>
                <w:top w:val="none" w:sz="0" w:space="0" w:color="auto"/>
                <w:left w:val="none" w:sz="0" w:space="0" w:color="auto"/>
                <w:bottom w:val="none" w:sz="0" w:space="0" w:color="auto"/>
                <w:right w:val="none" w:sz="0" w:space="0" w:color="auto"/>
              </w:divBdr>
              <w:divsChild>
                <w:div w:id="888955520">
                  <w:marLeft w:val="0"/>
                  <w:marRight w:val="0"/>
                  <w:marTop w:val="0"/>
                  <w:marBottom w:val="0"/>
                  <w:divBdr>
                    <w:top w:val="none" w:sz="0" w:space="0" w:color="auto"/>
                    <w:left w:val="none" w:sz="0" w:space="0" w:color="auto"/>
                    <w:bottom w:val="none" w:sz="0" w:space="0" w:color="auto"/>
                    <w:right w:val="none" w:sz="0" w:space="0" w:color="auto"/>
                  </w:divBdr>
                </w:div>
              </w:divsChild>
            </w:div>
            <w:div w:id="1616593495">
              <w:marLeft w:val="0"/>
              <w:marRight w:val="0"/>
              <w:marTop w:val="0"/>
              <w:marBottom w:val="0"/>
              <w:divBdr>
                <w:top w:val="none" w:sz="0" w:space="0" w:color="auto"/>
                <w:left w:val="none" w:sz="0" w:space="0" w:color="auto"/>
                <w:bottom w:val="none" w:sz="0" w:space="0" w:color="auto"/>
                <w:right w:val="none" w:sz="0" w:space="0" w:color="auto"/>
              </w:divBdr>
              <w:divsChild>
                <w:div w:id="1089496596">
                  <w:marLeft w:val="0"/>
                  <w:marRight w:val="0"/>
                  <w:marTop w:val="0"/>
                  <w:marBottom w:val="0"/>
                  <w:divBdr>
                    <w:top w:val="none" w:sz="0" w:space="0" w:color="auto"/>
                    <w:left w:val="none" w:sz="0" w:space="0" w:color="auto"/>
                    <w:bottom w:val="none" w:sz="0" w:space="0" w:color="auto"/>
                    <w:right w:val="none" w:sz="0" w:space="0" w:color="auto"/>
                  </w:divBdr>
                </w:div>
                <w:div w:id="4798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arimr/ewidencja-producentow" TargetMode="External"/><Relationship Id="rId13" Type="http://schemas.openxmlformats.org/officeDocument/2006/relationships/hyperlink" Target="https://www.gov.pl/attachment/bcbd8d76-4f2c-4d8e-9dcc-f3f687d857e2" TargetMode="External"/><Relationship Id="rId3" Type="http://schemas.openxmlformats.org/officeDocument/2006/relationships/settings" Target="settings.xml"/><Relationship Id="rId7" Type="http://schemas.openxmlformats.org/officeDocument/2006/relationships/hyperlink" Target="https://epue.arimr.gov.pl/pl/strona-glowna" TargetMode="External"/><Relationship Id="rId12" Type="http://schemas.openxmlformats.org/officeDocument/2006/relationships/hyperlink" Target="https://www.gov.pl/web/arimr/oddzialy-regionalne-i-biura-powiatow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pl/web/arimr/ewidencja-producentow" TargetMode="External"/><Relationship Id="rId11" Type="http://schemas.openxmlformats.org/officeDocument/2006/relationships/hyperlink" Target="https://www.gov.pl/web/arimr/oddzialy-regionalne-i-biura-powiatowe" TargetMode="External"/><Relationship Id="rId5" Type="http://schemas.openxmlformats.org/officeDocument/2006/relationships/hyperlink" Target="https://www.gov.pl/web/arimr/nabor-2026---pomoc-dla-pszczelarzy-do-przezimowanych-rodzin-pszczelich" TargetMode="External"/><Relationship Id="rId15" Type="http://schemas.openxmlformats.org/officeDocument/2006/relationships/hyperlink" Target="https://www.gov.pl/attachment/92f4ce1d-a9de-42ea-b1c5-88b108778c83" TargetMode="External"/><Relationship Id="rId10" Type="http://schemas.openxmlformats.org/officeDocument/2006/relationships/hyperlink" Target="https://www.gov.pl/web/arimr/platforma-uslug-elektronicznych" TargetMode="External"/><Relationship Id="rId4" Type="http://schemas.openxmlformats.org/officeDocument/2006/relationships/webSettings" Target="webSettings.xml"/><Relationship Id="rId9" Type="http://schemas.openxmlformats.org/officeDocument/2006/relationships/hyperlink" Target="https://www.gov.pl/web/arimr/platforma-uslug-elektronicznych" TargetMode="External"/><Relationship Id="rId14" Type="http://schemas.openxmlformats.org/officeDocument/2006/relationships/hyperlink" Target="https://www.gov.pl/attachment/8563384b-0a45-4d5f-80bd-cb01db0986e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1499</Words>
  <Characters>8999</Characters>
  <Application>Microsoft Office Word</Application>
  <DocSecurity>0</DocSecurity>
  <Lines>74</Lines>
  <Paragraphs>20</Paragraphs>
  <ScaleCrop>false</ScaleCrop>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Błażej Banaś</dc:creator>
  <cp:keywords/>
  <dc:description/>
  <cp:lastModifiedBy>Błażej Banaś</cp:lastModifiedBy>
  <cp:revision>2</cp:revision>
  <dcterms:created xsi:type="dcterms:W3CDTF">2026-04-09T07:53:00Z</dcterms:created>
  <dcterms:modified xsi:type="dcterms:W3CDTF">2026-04-09T07:57:00Z</dcterms:modified>
</cp:coreProperties>
</file>